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765F5" w14:textId="45B1C254"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48CD5613" w14:textId="77777777" w:rsidR="00E16DE4" w:rsidRDefault="00E16DE4" w:rsidP="00E16DE4">
      <w:pPr>
        <w:spacing w:after="0" w:line="240" w:lineRule="auto"/>
        <w:jc w:val="center"/>
        <w:rPr>
          <w:rFonts w:ascii="Arial" w:eastAsia="Times New Roman" w:hAnsi="Arial" w:cs="Arial"/>
          <w:sz w:val="28"/>
          <w:szCs w:val="20"/>
        </w:rPr>
      </w:pPr>
      <w:r>
        <w:rPr>
          <w:rFonts w:ascii="Arial" w:eastAsia="Times New Roman" w:hAnsi="Arial" w:cs="Arial"/>
          <w:sz w:val="28"/>
          <w:szCs w:val="20"/>
        </w:rPr>
        <w:t>Občianske združenie KRAS</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5D1DCD25" w14:textId="3B6F2E33" w:rsidR="00E16DE4" w:rsidRDefault="00E16DE4" w:rsidP="00E16DE4">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Pr>
          <w:rFonts w:ascii="Arial" w:eastAsia="Times New Roman" w:hAnsi="Arial" w:cs="Arial"/>
          <w:sz w:val="28"/>
          <w:szCs w:val="20"/>
        </w:rPr>
        <w:t>Q091</w:t>
      </w:r>
      <w:r w:rsidRPr="00C13613">
        <w:rPr>
          <w:rFonts w:ascii="Arial" w:eastAsia="Times New Roman" w:hAnsi="Arial" w:cs="Arial"/>
          <w:sz w:val="28"/>
          <w:szCs w:val="20"/>
        </w:rPr>
        <w:t>-</w:t>
      </w:r>
      <w:r>
        <w:rPr>
          <w:rFonts w:ascii="Arial" w:eastAsia="Times New Roman" w:hAnsi="Arial" w:cs="Arial"/>
          <w:sz w:val="28"/>
          <w:szCs w:val="20"/>
        </w:rPr>
        <w:t>512</w:t>
      </w:r>
      <w:r w:rsidRPr="00C13613">
        <w:rPr>
          <w:rFonts w:ascii="Arial" w:eastAsia="Times New Roman" w:hAnsi="Arial" w:cs="Arial"/>
          <w:sz w:val="28"/>
          <w:szCs w:val="20"/>
        </w:rPr>
        <w:t>-</w:t>
      </w:r>
      <w:r>
        <w:rPr>
          <w:rFonts w:ascii="Arial" w:eastAsia="Times New Roman" w:hAnsi="Arial" w:cs="Arial"/>
          <w:sz w:val="28"/>
          <w:szCs w:val="20"/>
        </w:rPr>
        <w:t>003</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36745D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E16DE4">
            <w:rPr>
              <w:rFonts w:ascii="Arial" w:hAnsi="Arial" w:cs="Arial"/>
              <w:sz w:val="22"/>
            </w:rPr>
            <w:t>5.1.2 Zlepšenie udrţateľných vzťahov medzi vidieckymi rozvojovými centrami a ich zázemím vo verejných sluţbách a vo verejných infraštruktúrach</w:t>
          </w:r>
        </w:sdtContent>
      </w:sdt>
    </w:p>
    <w:p w14:paraId="266737C6" w14:textId="63C6958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16DE4">
            <w:rPr>
              <w:rFonts w:ascii="Arial" w:hAnsi="Arial" w:cs="Arial"/>
              <w:sz w:val="22"/>
            </w:rPr>
            <w:t>B3 Nákup vozdiel spoločnej dopravy osôb</w:t>
          </w:r>
        </w:sdtContent>
      </w:sdt>
    </w:p>
    <w:p w14:paraId="60D37D52" w14:textId="35678D7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E16DE4">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50C75E7C" w14:textId="77777777" w:rsidR="00E16DE4" w:rsidRPr="00021AF2" w:rsidRDefault="00E16DE4" w:rsidP="00B51C46">
      <w:r w:rsidRPr="00021AF2">
        <w:t>Názov:</w:t>
      </w:r>
      <w:r w:rsidRPr="00021AF2">
        <w:tab/>
        <w:t xml:space="preserve">Občianske združenie KRAS </w:t>
      </w:r>
    </w:p>
    <w:p w14:paraId="0B809AE2" w14:textId="77777777" w:rsidR="00E16DE4" w:rsidRPr="00B51C46" w:rsidRDefault="00E16DE4" w:rsidP="00B51C46">
      <w:pPr>
        <w:tabs>
          <w:tab w:val="left" w:pos="1418"/>
        </w:tabs>
        <w:spacing w:before="120" w:after="120" w:line="240" w:lineRule="auto"/>
        <w:rPr>
          <w:rFonts w:ascii="Arial" w:hAnsi="Arial" w:cs="Arial"/>
          <w:i/>
          <w:sz w:val="22"/>
        </w:rPr>
      </w:pPr>
      <w:r w:rsidRPr="00B51C46">
        <w:rPr>
          <w:rFonts w:ascii="Arial" w:hAnsi="Arial" w:cs="Arial"/>
          <w:sz w:val="22"/>
        </w:rPr>
        <w:t>Sídlo:</w:t>
      </w:r>
      <w:r w:rsidRPr="00B51C46">
        <w:rPr>
          <w:rFonts w:ascii="Arial" w:hAnsi="Arial" w:cs="Arial"/>
          <w:sz w:val="22"/>
        </w:rPr>
        <w:tab/>
        <w:t>Čsl. Armády 478</w:t>
      </w:r>
    </w:p>
    <w:p w14:paraId="5FC28FCA" w14:textId="77777777" w:rsidR="00E16DE4" w:rsidRPr="00021AF2" w:rsidRDefault="00E16DE4" w:rsidP="00B51C46">
      <w:pPr>
        <w:pStyle w:val="Odsekzoznamu"/>
        <w:tabs>
          <w:tab w:val="left" w:pos="1418"/>
        </w:tabs>
        <w:spacing w:before="120" w:after="120" w:line="240" w:lineRule="auto"/>
        <w:ind w:left="360"/>
        <w:rPr>
          <w:rFonts w:ascii="Arial" w:hAnsi="Arial" w:cs="Arial"/>
          <w:i/>
          <w:sz w:val="22"/>
        </w:rPr>
      </w:pPr>
      <w:r w:rsidRPr="00021AF2">
        <w:rPr>
          <w:rFonts w:ascii="Arial" w:hAnsi="Arial" w:cs="Arial"/>
          <w:i/>
          <w:sz w:val="22"/>
        </w:rPr>
        <w:tab/>
        <w:t>Plešivec</w:t>
      </w:r>
    </w:p>
    <w:p w14:paraId="4613215B" w14:textId="77777777" w:rsidR="00E16DE4" w:rsidRPr="00021AF2" w:rsidRDefault="00E16DE4" w:rsidP="00B51C46">
      <w:pPr>
        <w:pStyle w:val="Odsekzoznamu"/>
        <w:tabs>
          <w:tab w:val="left" w:pos="1418"/>
        </w:tabs>
        <w:spacing w:before="120" w:after="120" w:line="240" w:lineRule="auto"/>
        <w:ind w:left="360"/>
        <w:rPr>
          <w:rFonts w:ascii="Arial" w:hAnsi="Arial" w:cs="Arial"/>
          <w:i/>
          <w:sz w:val="22"/>
          <w:highlight w:val="yellow"/>
        </w:rPr>
      </w:pPr>
      <w:r w:rsidRPr="00021AF2">
        <w:rPr>
          <w:rFonts w:ascii="Arial" w:hAnsi="Arial" w:cs="Arial"/>
          <w:i/>
          <w:sz w:val="22"/>
        </w:rPr>
        <w:tab/>
        <w:t>04911</w:t>
      </w:r>
      <w:r w:rsidRPr="00021AF2">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C3F1FE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1-31T00:00:00Z">
            <w:dateFormat w:val="d. M. yyyy"/>
            <w:lid w:val="sk-SK"/>
            <w:storeMappedDataAs w:val="dateTime"/>
            <w:calendar w:val="gregorian"/>
          </w:date>
        </w:sdtPr>
        <w:sdtEndPr/>
        <w:sdtContent>
          <w:r w:rsidR="00E16DE4">
            <w:rPr>
              <w:rFonts w:ascii="Arial" w:hAnsi="Arial" w:cs="Arial"/>
              <w:sz w:val="22"/>
            </w:rPr>
            <w:t>31. 1. 2020</w:t>
          </w:r>
        </w:sdtContent>
      </w:sdt>
    </w:p>
    <w:p w14:paraId="532ABE8D" w14:textId="0AB4E32C"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E16DE4">
          <w:rPr>
            <w:rStyle w:val="Hypertextovprepojenie"/>
          </w:rPr>
          <w:t>http://www.maskras.sk/strategia-clld/irop-harmonogram-vyzvy/</w:t>
        </w:r>
      </w:hyperlink>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16F5D0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E16DE4" w:rsidRPr="00B51C46">
        <w:rPr>
          <w:rFonts w:ascii="Arial" w:hAnsi="Arial" w:cs="Arial"/>
          <w:b/>
          <w:sz w:val="22"/>
        </w:rPr>
        <w:t>330.000,--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FBDA62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16DE4">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E16DE4">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predfinancovania</w:t>
      </w:r>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lastRenderedPageBreak/>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84FA141" w:rsidR="00997F82" w:rsidRDefault="00D567D6" w:rsidP="00B51C46">
            <w:pPr>
              <w:spacing w:before="60" w:after="60" w:line="240" w:lineRule="auto"/>
              <w:jc w:val="center"/>
              <w:outlineLvl w:val="0"/>
              <w:rPr>
                <w:rFonts w:ascii="Arial" w:hAnsi="Arial" w:cs="Arial"/>
                <w:sz w:val="20"/>
                <w:szCs w:val="20"/>
              </w:rPr>
            </w:pPr>
            <w:r>
              <w:rPr>
                <w:rFonts w:ascii="Arial" w:hAnsi="Arial" w:cs="Arial"/>
                <w:sz w:val="20"/>
                <w:szCs w:val="20"/>
              </w:rPr>
              <w:t>29.02</w:t>
            </w:r>
            <w:r w:rsidR="00E16DE4">
              <w:rPr>
                <w:rFonts w:ascii="Arial" w:hAnsi="Arial" w:cs="Arial"/>
                <w:sz w:val="20"/>
                <w:szCs w:val="20"/>
              </w:rPr>
              <w:t>.2020</w:t>
            </w:r>
          </w:p>
        </w:tc>
        <w:tc>
          <w:tcPr>
            <w:tcW w:w="3070" w:type="dxa"/>
            <w:vAlign w:val="center"/>
          </w:tcPr>
          <w:p w14:paraId="7FB5A443" w14:textId="1FA60F35" w:rsidR="00997F82" w:rsidRDefault="00E16DE4" w:rsidP="00D567D6">
            <w:pPr>
              <w:spacing w:before="60" w:after="60" w:line="240" w:lineRule="auto"/>
              <w:jc w:val="center"/>
              <w:outlineLvl w:val="0"/>
              <w:rPr>
                <w:rFonts w:ascii="Arial" w:hAnsi="Arial" w:cs="Arial"/>
                <w:sz w:val="20"/>
                <w:szCs w:val="20"/>
              </w:rPr>
            </w:pPr>
            <w:r>
              <w:rPr>
                <w:rFonts w:ascii="Arial" w:hAnsi="Arial" w:cs="Arial"/>
                <w:sz w:val="20"/>
                <w:szCs w:val="20"/>
              </w:rPr>
              <w:t>31.0</w:t>
            </w:r>
            <w:r w:rsidR="00D567D6">
              <w:rPr>
                <w:rFonts w:ascii="Arial" w:hAnsi="Arial" w:cs="Arial"/>
                <w:sz w:val="20"/>
                <w:szCs w:val="20"/>
              </w:rPr>
              <w:t>3</w:t>
            </w:r>
            <w:r>
              <w:rPr>
                <w:rFonts w:ascii="Arial" w:hAnsi="Arial" w:cs="Arial"/>
                <w:sz w:val="20"/>
                <w:szCs w:val="20"/>
              </w:rPr>
              <w:t>.2020</w:t>
            </w:r>
          </w:p>
        </w:tc>
        <w:tc>
          <w:tcPr>
            <w:tcW w:w="3494" w:type="dxa"/>
          </w:tcPr>
          <w:p w14:paraId="766B9373" w14:textId="6404F812" w:rsidR="00997F82" w:rsidRDefault="00997F82" w:rsidP="00D567D6">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D567D6">
              <w:rPr>
                <w:rFonts w:ascii="Arial" w:hAnsi="Arial" w:cs="Arial"/>
                <w:sz w:val="20"/>
                <w:szCs w:val="20"/>
              </w:rPr>
              <w:t>1</w:t>
            </w:r>
            <w:r w:rsidR="00E16DE4">
              <w:rPr>
                <w:rFonts w:ascii="Arial" w:hAnsi="Arial" w:cs="Arial"/>
                <w:sz w:val="20"/>
                <w:szCs w:val="20"/>
              </w:rPr>
              <w:t xml:space="preserve"> </w:t>
            </w:r>
            <w:r>
              <w:rPr>
                <w:rFonts w:ascii="Arial" w:hAnsi="Arial" w:cs="Arial"/>
                <w:sz w:val="20"/>
                <w:szCs w:val="20"/>
              </w:rPr>
              <w:t>mesiac</w:t>
            </w:r>
            <w:r w:rsidR="00D567D6">
              <w:rPr>
                <w:rFonts w:ascii="Arial" w:hAnsi="Arial" w:cs="Arial"/>
                <w:sz w:val="20"/>
                <w:szCs w:val="20"/>
              </w:rPr>
              <w:t>a</w:t>
            </w:r>
            <w:r>
              <w:rPr>
                <w:rFonts w:ascii="Arial" w:hAnsi="Arial" w:cs="Arial"/>
                <w:sz w:val="20"/>
                <w:szCs w:val="20"/>
              </w:rPr>
              <w:t xml:space="preserve"> od predchádzajúceho hodnotiaceho kola a to vždy k </w:t>
            </w:r>
            <w:r w:rsidR="00E16DE4">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998F27" w14:textId="0353FA87" w:rsidR="00997F82" w:rsidRPr="00B51C46" w:rsidRDefault="00997F82" w:rsidP="00B51C46">
            <w:pPr>
              <w:pStyle w:val="Odsekzoznamu"/>
              <w:numPr>
                <w:ilvl w:val="0"/>
                <w:numId w:val="42"/>
              </w:numPr>
              <w:spacing w:before="60" w:after="60" w:line="240" w:lineRule="auto"/>
              <w:ind w:left="791"/>
              <w:jc w:val="both"/>
              <w:rPr>
                <w:rFonts w:ascii="Arial" w:hAnsi="Arial" w:cs="Arial"/>
                <w:bCs/>
                <w:sz w:val="20"/>
                <w:szCs w:val="20"/>
              </w:rPr>
            </w:pPr>
            <w:r w:rsidRPr="00B51C46">
              <w:rPr>
                <w:rFonts w:ascii="Arial" w:hAnsi="Arial" w:cs="Arial"/>
                <w:bCs/>
                <w:sz w:val="20"/>
                <w:szCs w:val="20"/>
              </w:rPr>
              <w:t>občianske združenia podľa zákona č. 83/1990 Zb. o združovaní občanov,</w:t>
            </w:r>
          </w:p>
          <w:p w14:paraId="30FED0B2" w14:textId="77777777" w:rsidR="00340B96" w:rsidRDefault="00340B96" w:rsidP="00B51C46">
            <w:pPr>
              <w:ind w:left="431"/>
              <w:rPr>
                <w:rFonts w:ascii="Arial" w:hAnsi="Arial" w:cs="Arial"/>
                <w:b/>
                <w:bCs/>
                <w:sz w:val="20"/>
                <w:szCs w:val="20"/>
              </w:rPr>
            </w:pPr>
          </w:p>
          <w:p w14:paraId="1C479C79" w14:textId="77777777" w:rsidR="00997F82" w:rsidRDefault="00997F82" w:rsidP="00B51C46">
            <w:pPr>
              <w:ind w:left="431"/>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6C3761A0"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4C5DD8">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2FA928B4" w:rsidR="00997F82" w:rsidRPr="00C63476" w:rsidRDefault="00997F82" w:rsidP="00B51C46">
            <w:pPr>
              <w:pStyle w:val="Odsekzoznamu"/>
              <w:spacing w:before="60" w:after="60" w:line="240" w:lineRule="auto"/>
              <w:ind w:left="499" w:right="85"/>
              <w:jc w:val="both"/>
              <w:rPr>
                <w:rFonts w:ascii="Arial" w:hAnsi="Arial" w:cs="Arial"/>
                <w:bCs/>
                <w:sz w:val="20"/>
                <w:szCs w:val="20"/>
              </w:rPr>
            </w:pP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756ED796"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340B96">
              <w:rPr>
                <w:rFonts w:ascii="Arial" w:hAnsi="Arial" w:cs="Arial"/>
                <w:bCs/>
                <w:sz w:val="20"/>
                <w:szCs w:val="20"/>
              </w:rPr>
              <w:t>.</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DC2A40A"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643184">
              <w:rPr>
                <w:rFonts w:ascii="Arial" w:hAnsi="Arial" w:cs="Arial"/>
                <w:bCs/>
                <w:sz w:val="20"/>
                <w:szCs w:val="20"/>
              </w:rPr>
              <w:t>, resp. daňového priznania</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096A857"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B51C46">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
          <w:p w14:paraId="3D0F6A91" w14:textId="27B8B83C"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hypertoxtový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480B0C2" w:rsidR="00997F82" w:rsidRPr="005B3A2C" w:rsidRDefault="00997F82" w:rsidP="00B51C4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046FF4B"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3A15032"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3E8E8D18" w:rsidR="00997F82" w:rsidRDefault="00C94378" w:rsidP="00B51C46">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7DD9A41D" w14:textId="75981FFC"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8100E3D"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EF2C0F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B1F1F">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078AD8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1B1F1F">
              <w:rPr>
                <w:rFonts w:ascii="Arial" w:hAnsi="Arial" w:cs="Arial"/>
                <w:bCs/>
                <w:sz w:val="20"/>
                <w:szCs w:val="20"/>
              </w:rPr>
              <w:t xml:space="preserve"> (v obci: </w:t>
            </w:r>
            <w:r w:rsidR="001B1F1F" w:rsidRPr="00715A01">
              <w:rPr>
                <w:rFonts w:ascii="Arial" w:hAnsi="Arial" w:cs="Arial"/>
                <w:sz w:val="20"/>
                <w:szCs w:val="20"/>
              </w:rPr>
              <w:t>Ardovo, Bohúňovo, Bretka, Čoltovo, Dlhá Ves, Gemerská Hôrka, Gemerská Panica, Hrhov, Hrušov, Jablonov nad Turňou, Kečovo, Kunova Teplica, Meliata, Pašková, Plešivec, Silica, Silická Brezová, Silická Jablonica, Slavec)</w:t>
            </w:r>
            <w:r w:rsidR="001B1F1F">
              <w:rPr>
                <w:rFonts w:ascii="Arial" w:hAnsi="Arial" w:cs="Arial"/>
                <w:sz w:val="20"/>
                <w:szCs w:val="20"/>
              </w:rPr>
              <w:t>.</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6FB2DB06"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AC6E38">
              <w:rPr>
                <w:rFonts w:ascii="Arial" w:hAnsi="Arial" w:cs="Arial"/>
                <w:bCs/>
                <w:sz w:val="20"/>
                <w:szCs w:val="20"/>
              </w:rPr>
              <w:t>18</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3005D0EA"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0F7B3D"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04E8F41B" w:rsidR="00882C9E"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ex-ante,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A79F0" w14:paraId="43BFE94B" w14:textId="77777777" w:rsidTr="00687273">
        <w:tc>
          <w:tcPr>
            <w:tcW w:w="9776" w:type="dxa"/>
            <w:shd w:val="clear" w:color="auto" w:fill="auto"/>
          </w:tcPr>
          <w:p w14:paraId="6B5F5800" w14:textId="119C5D98" w:rsidR="00997F82" w:rsidRPr="00F27DBD" w:rsidRDefault="00997F82" w:rsidP="009A65F5">
            <w:pPr>
              <w:spacing w:before="120" w:after="120" w:line="240" w:lineRule="auto"/>
              <w:ind w:left="85" w:right="85"/>
              <w:jc w:val="both"/>
              <w:rPr>
                <w:rFonts w:ascii="Arial" w:hAnsi="Arial" w:cs="Arial"/>
                <w:bCs/>
                <w:sz w:val="20"/>
                <w:szCs w:val="20"/>
              </w:rPr>
            </w:pP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85182"/>
            <w:r w:rsidRPr="00A268F6">
              <w:rPr>
                <w:rFonts w:ascii="Arial" w:hAnsi="Arial" w:cs="Arial"/>
                <w:b/>
                <w:sz w:val="20"/>
                <w:szCs w:val="20"/>
              </w:rPr>
              <w:t>Maximálna a minimálna výška príspevku</w:t>
            </w:r>
            <w:bookmarkEnd w:id="5"/>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52FD3498"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1B1F1F">
              <w:rPr>
                <w:rFonts w:ascii="Arial" w:hAnsi="Arial" w:cs="Arial"/>
                <w:bCs/>
                <w:sz w:val="20"/>
                <w:szCs w:val="20"/>
              </w:rPr>
              <w:t xml:space="preserve">5000,-- </w:t>
            </w:r>
            <w:r>
              <w:rPr>
                <w:rFonts w:ascii="Arial" w:hAnsi="Arial" w:cs="Arial"/>
                <w:bCs/>
                <w:sz w:val="20"/>
                <w:szCs w:val="20"/>
              </w:rPr>
              <w:t>EUR</w:t>
            </w:r>
          </w:p>
          <w:p w14:paraId="582FBBB1" w14:textId="56D7975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1B1F1F">
              <w:rPr>
                <w:rFonts w:ascii="Arial" w:hAnsi="Arial" w:cs="Arial"/>
                <w:bCs/>
                <w:sz w:val="20"/>
                <w:szCs w:val="20"/>
              </w:rPr>
              <w:t>45000,--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A850BDE" w14:textId="5070F77A" w:rsidR="00997F82" w:rsidRPr="00B51C46" w:rsidRDefault="00997F82" w:rsidP="00B51C46">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51C46">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B646C1C" w:rsidR="00997F82" w:rsidRPr="000A79E2" w:rsidRDefault="00997F82" w:rsidP="00B51C46">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467E13">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6"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6"/>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2D5528BA" w14:textId="77777777" w:rsidR="00D97366" w:rsidRDefault="00D97366" w:rsidP="00D97366">
      <w:pPr>
        <w:spacing w:before="120" w:after="120" w:line="240" w:lineRule="auto"/>
        <w:ind w:right="-142"/>
        <w:jc w:val="both"/>
        <w:rPr>
          <w:rFonts w:ascii="Arial" w:hAnsi="Arial" w:cs="Arial"/>
          <w:bCs/>
          <w:sz w:val="20"/>
          <w:szCs w:val="20"/>
          <w:u w:val="single"/>
        </w:rPr>
      </w:pPr>
      <w:bookmarkStart w:id="7"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prílohe je potrebné zachovať aj V prípade, že niektoré z príloh nie sú pre žiadateľa relevantné, a teda ich nepredkladá, Príloha ŽoPr môže pozostávať aj z viacerých samostatných dokumentov. </w:t>
      </w:r>
    </w:p>
    <w:p w14:paraId="37082503" w14:textId="77777777" w:rsidR="00D97366" w:rsidRPr="00C37754" w:rsidRDefault="00D97366" w:rsidP="00D9736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7"/>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17C5498" w:rsidR="00997F82" w:rsidRPr="002C3A60" w:rsidRDefault="00997F82" w:rsidP="00B51C46">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6EAE0CFC"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w:t>
            </w:r>
            <w:r w:rsidRPr="00F768A3">
              <w:rPr>
                <w:rFonts w:ascii="Arial" w:hAnsi="Arial" w:cs="Arial"/>
                <w:bCs/>
                <w:sz w:val="20"/>
                <w:szCs w:val="20"/>
              </w:rPr>
              <w:t>žiadateľa</w:t>
            </w:r>
            <w:r w:rsidR="00F768A3" w:rsidRPr="00F768A3">
              <w:rPr>
                <w:rFonts w:ascii="Arial" w:hAnsi="Arial" w:cs="Arial"/>
                <w:bCs/>
                <w:sz w:val="20"/>
                <w:szCs w:val="20"/>
              </w:rPr>
              <w:t xml:space="preserve"> </w:t>
            </w:r>
            <w:r w:rsidR="00F768A3" w:rsidRPr="00F768A3">
              <w:rPr>
                <w:rFonts w:ascii="Arial" w:hAnsi="Arial" w:cs="Arial"/>
                <w:bCs/>
                <w:sz w:val="20"/>
                <w:szCs w:val="20"/>
              </w:rPr>
              <w:t>s výnimkou žiadateľa, ktorým je obec</w:t>
            </w:r>
            <w:r w:rsidR="00F768A3">
              <w:rPr>
                <w:rFonts w:ascii="Arial" w:hAnsi="Arial" w:cs="Arial"/>
                <w:bCs/>
                <w:sz w:val="20"/>
                <w:szCs w:val="20"/>
              </w:rPr>
              <w:t xml:space="preserve">. </w:t>
            </w:r>
            <w:bookmarkStart w:id="8" w:name="_GoBack"/>
            <w:bookmarkEnd w:id="8"/>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7D4E9464"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A9FB90A"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467E13" w:rsidRPr="00E338AE">
              <w:rPr>
                <w:rFonts w:ascii="Arial" w:eastAsia="Times New Roman" w:hAnsi="Arial" w:cs="Arial"/>
                <w:sz w:val="20"/>
                <w:szCs w:val="20"/>
              </w:rPr>
              <w:t xml:space="preserve"> IROP-CLLD-Q091-512-00</w:t>
            </w:r>
            <w:r w:rsidR="00467E13">
              <w:rPr>
                <w:rFonts w:ascii="Arial" w:eastAsia="Times New Roman" w:hAnsi="Arial" w:cs="Arial"/>
                <w:sz w:val="20"/>
                <w:szCs w:val="20"/>
              </w:rPr>
              <w:t>3</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hypertoxtový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860A276" w:rsidR="00997F82" w:rsidRPr="002C3A60" w:rsidRDefault="00997F82" w:rsidP="00B51C4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4E455405"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EF270D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041C7">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45E0F454"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20A01C5"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95A071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56CD08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041C7" w:rsidDel="00C041C7">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97F0C0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041C7">
              <w:rPr>
                <w:rFonts w:ascii="Arial" w:hAnsi="Arial" w:cs="Arial"/>
                <w:bCs/>
                <w:sz w:val="20"/>
                <w:szCs w:val="20"/>
              </w:rPr>
              <w:t>.</w:t>
            </w:r>
          </w:p>
          <w:p w14:paraId="0F34D686" w14:textId="39FC0E9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5C80E8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lastRenderedPageBreak/>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36E2CEFA"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62B168D"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777E1" w:rsidRPr="00A777E1">
        <w:rPr>
          <w:rFonts w:ascii="Arial" w:hAnsi="Arial" w:cs="Arial"/>
          <w:b/>
          <w:sz w:val="20"/>
          <w:szCs w:val="20"/>
        </w:rPr>
        <w:t xml:space="preserve"> </w:t>
      </w:r>
      <w:r w:rsidR="00A777E1" w:rsidRPr="00FD0E5A">
        <w:rPr>
          <w:rFonts w:ascii="Arial" w:hAnsi="Arial" w:cs="Arial"/>
          <w:b/>
          <w:sz w:val="20"/>
          <w:szCs w:val="20"/>
        </w:rPr>
        <w:t>Občianske združenie KRAS, Čsl. Armády 478, 04911 Plešivec</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97CCB66" w14:textId="77777777" w:rsidR="00A777E1" w:rsidRPr="00675500" w:rsidRDefault="00A777E1" w:rsidP="00A777E1">
      <w:pPr>
        <w:pStyle w:val="Odsekzoznamu"/>
        <w:numPr>
          <w:ilvl w:val="0"/>
          <w:numId w:val="3"/>
        </w:numPr>
        <w:tabs>
          <w:tab w:val="left" w:pos="426"/>
        </w:tabs>
        <w:spacing w:before="120" w:after="120" w:line="240" w:lineRule="auto"/>
        <w:jc w:val="both"/>
        <w:rPr>
          <w:rFonts w:ascii="Arial" w:hAnsi="Arial" w:cs="Arial"/>
          <w:sz w:val="20"/>
          <w:szCs w:val="20"/>
        </w:rPr>
      </w:pPr>
      <w:r w:rsidRPr="00675500">
        <w:rPr>
          <w:rFonts w:ascii="Arial" w:hAnsi="Arial" w:cs="Arial"/>
          <w:sz w:val="20"/>
          <w:szCs w:val="20"/>
        </w:rPr>
        <w:t xml:space="preserve">osobne </w:t>
      </w:r>
      <w:r>
        <w:rPr>
          <w:rFonts w:ascii="Arial" w:hAnsi="Arial" w:cs="Arial"/>
          <w:sz w:val="20"/>
          <w:szCs w:val="20"/>
        </w:rPr>
        <w:t xml:space="preserve"> pondelok – piatok </w:t>
      </w:r>
      <w:r w:rsidRPr="00675500">
        <w:rPr>
          <w:rFonts w:ascii="Arial" w:hAnsi="Arial" w:cs="Arial"/>
          <w:sz w:val="20"/>
          <w:szCs w:val="20"/>
        </w:rPr>
        <w:t>od 8:00 hod – 16:30 hod</w:t>
      </w:r>
    </w:p>
    <w:p w14:paraId="6393C7AB" w14:textId="77777777" w:rsidR="00A777E1" w:rsidRPr="003F3414" w:rsidRDefault="00A777E1" w:rsidP="00A777E1">
      <w:pPr>
        <w:pStyle w:val="Odsekzoznamu"/>
        <w:numPr>
          <w:ilvl w:val="0"/>
          <w:numId w:val="3"/>
        </w:numPr>
        <w:spacing w:before="120" w:after="120" w:line="240" w:lineRule="auto"/>
        <w:ind w:left="567" w:hanging="207"/>
        <w:contextualSpacing w:val="0"/>
        <w:jc w:val="both"/>
        <w:rPr>
          <w:rFonts w:ascii="Arial" w:hAnsi="Arial" w:cs="Arial"/>
          <w:sz w:val="20"/>
          <w:szCs w:val="20"/>
        </w:rPr>
      </w:pPr>
      <w:r>
        <w:rPr>
          <w:rFonts w:ascii="Arial" w:hAnsi="Arial" w:cs="Arial"/>
          <w:sz w:val="20"/>
          <w:szCs w:val="20"/>
        </w:rPr>
        <w:t xml:space="preserve">   </w:t>
      </w:r>
      <w:r w:rsidRPr="003F3414">
        <w:rPr>
          <w:rFonts w:ascii="Arial" w:hAnsi="Arial" w:cs="Arial"/>
          <w:sz w:val="20"/>
          <w:szCs w:val="20"/>
        </w:rPr>
        <w:t>doporučenou poštovou prepravou,</w:t>
      </w:r>
    </w:p>
    <w:p w14:paraId="375FCD21" w14:textId="77777777" w:rsidR="00A777E1" w:rsidRPr="003F3414" w:rsidRDefault="00A777E1" w:rsidP="00A777E1">
      <w:pPr>
        <w:pStyle w:val="Odsekzoznamu"/>
        <w:numPr>
          <w:ilvl w:val="0"/>
          <w:numId w:val="3"/>
        </w:numPr>
        <w:spacing w:before="120" w:after="120" w:line="240" w:lineRule="auto"/>
        <w:ind w:left="567" w:hanging="207"/>
        <w:contextualSpacing w:val="0"/>
        <w:jc w:val="both"/>
        <w:rPr>
          <w:rFonts w:ascii="Arial" w:hAnsi="Arial" w:cs="Arial"/>
          <w:sz w:val="20"/>
          <w:szCs w:val="20"/>
        </w:rPr>
      </w:pPr>
      <w:r>
        <w:rPr>
          <w:rFonts w:ascii="Arial" w:hAnsi="Arial" w:cs="Arial"/>
          <w:sz w:val="20"/>
          <w:szCs w:val="20"/>
        </w:rPr>
        <w:t xml:space="preserve">   </w:t>
      </w:r>
      <w:r w:rsidRPr="003F3414">
        <w:rPr>
          <w:rFonts w:ascii="Arial" w:hAnsi="Arial" w:cs="Arial"/>
          <w:sz w:val="20"/>
          <w:szCs w:val="20"/>
        </w:rPr>
        <w:t>kuriérskou službou.</w:t>
      </w:r>
    </w:p>
    <w:p w14:paraId="406196DE" w14:textId="77777777" w:rsidR="00997F82" w:rsidRPr="00B51C46" w:rsidRDefault="00997F82" w:rsidP="00B51C46">
      <w:pPr>
        <w:spacing w:before="120" w:after="120" w:line="240" w:lineRule="auto"/>
        <w:jc w:val="both"/>
        <w:rPr>
          <w:rFonts w:ascii="Arial" w:hAnsi="Arial" w:cs="Arial"/>
          <w:sz w:val="20"/>
          <w:szCs w:val="20"/>
        </w:rPr>
      </w:pPr>
      <w:r w:rsidRPr="00B51C46">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ukončení administratívneho overovania ŽoPr zasiela žiadateľom, ktorých ŽoPr nesplnili niektorú z podmienok poskytnutia príspevku (overovaných v rámci administratívneho overovania ŽoPr), resp. ŹoPr,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B51C4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B51C4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0E9859B8"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w:t>
      </w:r>
      <w:r w:rsidR="00A777E1">
        <w:rPr>
          <w:rFonts w:ascii="Arial" w:hAnsi="Arial" w:cs="Arial"/>
          <w:sz w:val="20"/>
          <w:szCs w:val="20"/>
        </w:rPr>
        <w:t>v</w:t>
      </w:r>
      <w:r w:rsidRPr="008E3991">
        <w:rPr>
          <w:rFonts w:ascii="Arial" w:hAnsi="Arial" w:cs="Arial"/>
          <w:sz w:val="20"/>
          <w:szCs w:val="20"/>
        </w:rPr>
        <w:t>ýberová komisia MAS.</w:t>
      </w:r>
    </w:p>
    <w:p w14:paraId="577E0F10" w14:textId="05B68F43"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ŽoPr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B51C4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47A29F48"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72DCB64"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r w:rsidR="00EE3738" w:rsidRPr="00EE3738">
        <w:rPr>
          <w:rStyle w:val="Hypertextovprepojenie"/>
        </w:rPr>
        <w:t xml:space="preserve"> </w:t>
      </w:r>
      <w:hyperlink r:id="rId24" w:history="1">
        <w:r w:rsidR="00EE3738">
          <w:rPr>
            <w:rStyle w:val="Hypertextovprepojenie"/>
          </w:rPr>
          <w:t>http://www.maskras.sk/strategia-clld/irop-harmonogram-vyzvy/</w:t>
        </w:r>
      </w:hyperlink>
      <w:r w:rsidR="00EE3738">
        <w:rPr>
          <w:rStyle w:val="Hypertextovprepojenie"/>
        </w:rPr>
        <w:t xml:space="preserve"> </w:t>
      </w:r>
      <w:r w:rsidR="00596954">
        <w:rPr>
          <w:rFonts w:ascii="Arial" w:hAnsi="Arial" w:cs="Arial"/>
          <w:sz w:val="20"/>
        </w:rPr>
        <w:t>zv</w:t>
      </w:r>
      <w:r w:rsidRPr="003F3414">
        <w:rPr>
          <w:rFonts w:ascii="Arial" w:hAnsi="Arial" w:cs="Arial"/>
          <w:sz w:val="20"/>
        </w:rPr>
        <w:t>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AFFA83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26539C">
        <w:rPr>
          <w:rFonts w:ascii="Arial" w:hAnsi="Arial" w:cs="Arial"/>
          <w:spacing w:val="-3"/>
          <w:sz w:val="20"/>
          <w:szCs w:val="20"/>
        </w:rPr>
        <w:t xml:space="preserve"> </w:t>
      </w:r>
      <w:r w:rsidR="0026539C" w:rsidRPr="00B51C46">
        <w:rPr>
          <w:rFonts w:ascii="Arial" w:hAnsi="Arial" w:cs="Arial"/>
          <w:color w:val="00B0F0"/>
          <w:spacing w:val="-3"/>
          <w:sz w:val="20"/>
          <w:szCs w:val="20"/>
        </w:rPr>
        <w:t>http://www.maskras.sk/strategia-clld/irop-harmonogram-vyzvy</w:t>
      </w:r>
      <w:r w:rsidRPr="00B51C46">
        <w:rPr>
          <w:rFonts w:ascii="Arial" w:hAnsi="Arial" w:cs="Arial"/>
          <w:color w:val="00B0F0"/>
          <w:spacing w:val="-3"/>
          <w:sz w:val="20"/>
          <w:szCs w:val="20"/>
        </w:rPr>
        <w:t xml:space="preserve"> </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A67FA63"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26539C">
        <w:rPr>
          <w:rFonts w:ascii="Arial" w:hAnsi="Arial" w:cs="Arial"/>
          <w:spacing w:val="-3"/>
          <w:sz w:val="20"/>
          <w:szCs w:val="20"/>
        </w:rPr>
        <w:t xml:space="preserve"> </w:t>
      </w:r>
      <w:r w:rsidR="0026539C" w:rsidRPr="00B51C46">
        <w:rPr>
          <w:rFonts w:ascii="Arial" w:hAnsi="Arial" w:cs="Arial"/>
          <w:color w:val="00B0F0"/>
          <w:spacing w:val="-3"/>
          <w:sz w:val="20"/>
          <w:szCs w:val="20"/>
        </w:rPr>
        <w:t>kancelaria@maskras.sk</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ZoPr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AAFEC" w16cid:durableId="207F2904"/>
  <w16cid:commentId w16cid:paraId="261BB239" w16cid:durableId="207F2CF4"/>
  <w16cid:commentId w16cid:paraId="0F91051C" w16cid:durableId="200AA45F"/>
  <w16cid:commentId w16cid:paraId="497DB2D3" w16cid:durableId="200AA460"/>
  <w16cid:commentId w16cid:paraId="76423692" w16cid:durableId="200AA461"/>
  <w16cid:commentId w16cid:paraId="65346AC9" w16cid:durableId="200AA463"/>
  <w16cid:commentId w16cid:paraId="26F182A7" w16cid:durableId="200AA464"/>
  <w16cid:commentId w16cid:paraId="1A2E0E25" w16cid:durableId="207F30CE"/>
  <w16cid:commentId w16cid:paraId="73E1743C" w16cid:durableId="2085AE1E"/>
  <w16cid:commentId w16cid:paraId="2B3516FC" w16cid:durableId="2085BC0E"/>
  <w16cid:commentId w16cid:paraId="7CF20B27" w16cid:durableId="2094EC80"/>
  <w16cid:commentId w16cid:paraId="2EBF9EAF" w16cid:durableId="2085BC67"/>
  <w16cid:commentId w16cid:paraId="39076575" w16cid:durableId="2085BCD3"/>
  <w16cid:commentId w16cid:paraId="3B95FA73" w16cid:durableId="200AA465"/>
  <w16cid:commentId w16cid:paraId="75FBF920" w16cid:durableId="200AA466"/>
  <w16cid:commentId w16cid:paraId="5E913D9B" w16cid:durableId="200AA467"/>
  <w16cid:commentId w16cid:paraId="4F152E07" w16cid:durableId="200AA468"/>
  <w16cid:commentId w16cid:paraId="5E56564E" w16cid:durableId="200AA469"/>
  <w16cid:commentId w16cid:paraId="1430D073" w16cid:durableId="200AA870"/>
  <w16cid:commentId w16cid:paraId="2FB983C0" w16cid:durableId="200AA46A"/>
  <w16cid:commentId w16cid:paraId="6A0FDC3C" w16cid:durableId="214E5309"/>
  <w16cid:commentId w16cid:paraId="203808BD" w16cid:durableId="20AA9AC5"/>
  <w16cid:commentId w16cid:paraId="5C396004" w16cid:durableId="20AA9AC6"/>
  <w16cid:commentId w16cid:paraId="64AD4C1C" w16cid:durableId="200AACA7"/>
  <w16cid:commentId w16cid:paraId="674DB3C6" w16cid:durableId="2082925A"/>
  <w16cid:commentId w16cid:paraId="2A3A0B7F" w16cid:durableId="200AA46B"/>
  <w16cid:commentId w16cid:paraId="0FD7C315" w16cid:durableId="2079B39B"/>
  <w16cid:commentId w16cid:paraId="4F44EF94" w16cid:durableId="200AA46C"/>
  <w16cid:commentId w16cid:paraId="3C34E14A" w16cid:durableId="214E41C9"/>
  <w16cid:commentId w16cid:paraId="4DE40800" w16cid:durableId="214E41CA"/>
  <w16cid:commentId w16cid:paraId="22A7E492" w16cid:durableId="200AA46D"/>
  <w16cid:commentId w16cid:paraId="1DF88CC8" w16cid:durableId="2079AEE1"/>
  <w16cid:commentId w16cid:paraId="633DA308" w16cid:durableId="200AA46E"/>
  <w16cid:commentId w16cid:paraId="4EA44398" w16cid:durableId="200AA46F"/>
  <w16cid:commentId w16cid:paraId="0EC20852" w16cid:durableId="2085A73C"/>
  <w16cid:commentId w16cid:paraId="44C5ED0F" w16cid:durableId="2082B12A"/>
  <w16cid:commentId w16cid:paraId="313FBA1B" w16cid:durableId="20AA9AD2"/>
  <w16cid:commentId w16cid:paraId="1DCFC7E5" w16cid:durableId="200AA470"/>
  <w16cid:commentId w16cid:paraId="6C4B1157" w16cid:durableId="20951CC0"/>
  <w16cid:commentId w16cid:paraId="08132101" w16cid:durableId="20952C33"/>
  <w16cid:commentId w16cid:paraId="20A2E064" w16cid:durableId="20952E0E"/>
  <w16cid:commentId w16cid:paraId="4CF8BD1E" w16cid:durableId="2079AEE5"/>
  <w16cid:commentId w16cid:paraId="585BA30D" w16cid:durableId="214E44D7"/>
  <w16cid:commentId w16cid:paraId="127AC3E4" w16cid:durableId="213B5517"/>
  <w16cid:commentId w16cid:paraId="47F29751" w16cid:durableId="218D6402"/>
  <w16cid:commentId w16cid:paraId="1AEB0F5C" w16cid:durableId="2079AEE8"/>
  <w16cid:commentId w16cid:paraId="402E5859" w16cid:durableId="2079AEEA"/>
  <w16cid:commentId w16cid:paraId="4D001F2E" w16cid:durableId="200AA472"/>
  <w16cid:commentId w16cid:paraId="18B9012E" w16cid:durableId="20829571"/>
  <w16cid:commentId w16cid:paraId="0C6EF08B" w16cid:durableId="2085A747"/>
  <w16cid:commentId w16cid:paraId="170ECC21" w16cid:durableId="2079AEED"/>
  <w16cid:commentId w16cid:paraId="2DB9DA57" w16cid:durableId="2082A046"/>
  <w16cid:commentId w16cid:paraId="4DFA18F7" w16cid:durableId="2079AEEE"/>
  <w16cid:commentId w16cid:paraId="0E9CA203" w16cid:durableId="200AA474"/>
  <w16cid:commentId w16cid:paraId="6FE88776" w16cid:durableId="20AA9AE4"/>
  <w16cid:commentId w16cid:paraId="5B9EAA55" w16cid:durableId="20AA9AE5"/>
  <w16cid:commentId w16cid:paraId="28F9168A" w16cid:durableId="20AA9AE6"/>
  <w16cid:commentId w16cid:paraId="36E8391D" w16cid:durableId="200AB5DF"/>
  <w16cid:commentId w16cid:paraId="1EFBB975" w16cid:durableId="213B584F"/>
  <w16cid:commentId w16cid:paraId="6B67C11D" w16cid:durableId="20AA9AE8"/>
  <w16cid:commentId w16cid:paraId="55FA6E08" w16cid:durableId="214E41E7"/>
  <w16cid:commentId w16cid:paraId="05E3D026" w16cid:durableId="20829ABF"/>
  <w16cid:commentId w16cid:paraId="0FB507A4" w16cid:durableId="20829A99"/>
  <w16cid:commentId w16cid:paraId="2EF2DD25" w16cid:durableId="200AB754"/>
  <w16cid:commentId w16cid:paraId="361AA19E" w16cid:durableId="2079AEF5"/>
  <w16cid:commentId w16cid:paraId="36B707AF" w16cid:durableId="2079AEF6"/>
  <w16cid:commentId w16cid:paraId="6C891455" w16cid:durableId="214E41ED"/>
  <w16cid:commentId w16cid:paraId="3864E0BB" w16cid:durableId="214E41EE"/>
  <w16cid:commentId w16cid:paraId="3ECB4877" w16cid:durableId="218ABD5A"/>
  <w16cid:commentId w16cid:paraId="151E73FC" w16cid:durableId="2082AA51"/>
  <w16cid:commentId w16cid:paraId="66B8592A" w16cid:durableId="219787F4"/>
  <w16cid:commentId w16cid:paraId="20DD6DFB" w16cid:durableId="20AA9AF0"/>
  <w16cid:commentId w16cid:paraId="26BCC662" w16cid:durableId="20AA9AF1"/>
  <w16cid:commentId w16cid:paraId="6B4E5801" w16cid:durableId="20AA9AF2"/>
  <w16cid:commentId w16cid:paraId="01A06600" w16cid:durableId="20AA9AF3"/>
  <w16cid:commentId w16cid:paraId="567DDBFB" w16cid:durableId="20AA9AF4"/>
  <w16cid:commentId w16cid:paraId="7D7A0278" w16cid:durableId="2079AEF9"/>
  <w16cid:commentId w16cid:paraId="4CBDB32C" w16cid:durableId="2085A756"/>
  <w16cid:commentId w16cid:paraId="248F894F" w16cid:durableId="2079AEFA"/>
  <w16cid:commentId w16cid:paraId="44547C8B" w16cid:durableId="20956B9D"/>
  <w16cid:commentId w16cid:paraId="24EAF4CF" w16cid:durableId="20956C68"/>
  <w16cid:commentId w16cid:paraId="31936BE0" w16cid:durableId="200AA478"/>
  <w16cid:commentId w16cid:paraId="0F6944F5" w16cid:durableId="214E41FB"/>
  <w16cid:commentId w16cid:paraId="7F9E317C" w16cid:durableId="2079AEFE"/>
  <w16cid:commentId w16cid:paraId="72DD5C54" w16cid:durableId="2085A75A"/>
  <w16cid:commentId w16cid:paraId="3B9BFE07" w16cid:durableId="21897015"/>
  <w16cid:commentId w16cid:paraId="312BED24" w16cid:durableId="200AA479"/>
  <w16cid:commentId w16cid:paraId="7D3543D5" w16cid:durableId="200AA47A"/>
  <w16cid:commentId w16cid:paraId="7F7846B3" w16cid:durableId="200AA47B"/>
  <w16cid:commentId w16cid:paraId="443D38D6" w16cid:durableId="200AA47C"/>
  <w16cid:commentId w16cid:paraId="7BBA54A9" w16cid:durableId="2085A75F"/>
  <w16cid:commentId w16cid:paraId="364EDF51" w16cid:durableId="200AA47D"/>
  <w16cid:commentId w16cid:paraId="0AD9ED16" w16cid:durableId="200AA47E"/>
  <w16cid:commentId w16cid:paraId="6569237B" w16cid:durableId="200AA4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784FE" w14:textId="77777777" w:rsidR="000F7B3D" w:rsidRDefault="000F7B3D" w:rsidP="00997F82">
      <w:pPr>
        <w:spacing w:after="0" w:line="240" w:lineRule="auto"/>
      </w:pPr>
      <w:r>
        <w:separator/>
      </w:r>
    </w:p>
  </w:endnote>
  <w:endnote w:type="continuationSeparator" w:id="0">
    <w:p w14:paraId="3FCAE4E6" w14:textId="77777777" w:rsidR="000F7B3D" w:rsidRDefault="000F7B3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4446845"/>
      <w:docPartObj>
        <w:docPartGallery w:val="Page Numbers (Bottom of Page)"/>
        <w:docPartUnique/>
      </w:docPartObj>
    </w:sdtPr>
    <w:sdtEndPr>
      <w:rPr>
        <w:rFonts w:ascii="Arial" w:hAnsi="Arial" w:cs="Arial"/>
        <w:sz w:val="20"/>
        <w:szCs w:val="20"/>
      </w:rPr>
    </w:sdtEndPr>
    <w:sdtContent>
      <w:p w14:paraId="03C91844" w14:textId="2B0173E5" w:rsidR="004C5DD8" w:rsidRPr="000B630C" w:rsidRDefault="004C5DD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768A3">
          <w:rPr>
            <w:rFonts w:ascii="Arial" w:hAnsi="Arial" w:cs="Arial"/>
            <w:noProof/>
            <w:sz w:val="20"/>
            <w:szCs w:val="20"/>
          </w:rPr>
          <w:t>25</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01C13" w14:textId="77777777" w:rsidR="004C5DD8" w:rsidRDefault="004C5DD8"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C5DD8" w:rsidRDefault="004C5DD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8C8D2" w14:textId="77777777" w:rsidR="000F7B3D" w:rsidRDefault="000F7B3D" w:rsidP="00997F82">
      <w:pPr>
        <w:spacing w:after="0" w:line="240" w:lineRule="auto"/>
      </w:pPr>
      <w:r>
        <w:separator/>
      </w:r>
    </w:p>
  </w:footnote>
  <w:footnote w:type="continuationSeparator" w:id="0">
    <w:p w14:paraId="0EDD2ADF" w14:textId="77777777" w:rsidR="000F7B3D" w:rsidRDefault="000F7B3D" w:rsidP="00997F82">
      <w:pPr>
        <w:spacing w:after="0" w:line="240" w:lineRule="auto"/>
      </w:pPr>
      <w:r>
        <w:continuationSeparator/>
      </w:r>
    </w:p>
  </w:footnote>
  <w:footnote w:id="1">
    <w:p w14:paraId="00A0BAF2" w14:textId="08ED93F2" w:rsidR="004C5DD8" w:rsidRPr="00377989" w:rsidRDefault="004C5DD8" w:rsidP="00B51C4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4C5DD8" w:rsidRPr="003F3414" w:rsidRDefault="004C5DD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DF69E" w14:textId="232687D2" w:rsidR="004C5DD8" w:rsidRPr="001F013A" w:rsidRDefault="004C5DD8" w:rsidP="00DD3EE2">
    <w:pPr>
      <w:pStyle w:val="Hlavika"/>
      <w:rPr>
        <w:rFonts w:ascii="Arial Narrow" w:hAnsi="Arial Narrow"/>
        <w:sz w:val="20"/>
      </w:rPr>
    </w:pP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47A9FFC9">
              <wp:simplePos x="0" y="0"/>
              <wp:positionH relativeFrom="column">
                <wp:posOffset>-310514</wp:posOffset>
              </wp:positionH>
              <wp:positionV relativeFrom="paragraph">
                <wp:posOffset>-31115</wp:posOffset>
              </wp:positionV>
              <wp:extent cx="1028700" cy="447675"/>
              <wp:effectExtent l="0" t="0" r="19050" b="28575"/>
              <wp:wrapNone/>
              <wp:docPr id="15" name="Zaoblený obdĺžnik 15"/>
              <wp:cNvGraphicFramePr/>
              <a:graphic xmlns:a="http://schemas.openxmlformats.org/drawingml/2006/main">
                <a:graphicData uri="http://schemas.microsoft.com/office/word/2010/wordprocessingShape">
                  <wps:wsp>
                    <wps:cNvSpPr/>
                    <wps:spPr>
                      <a:xfrm>
                        <a:off x="0" y="0"/>
                        <a:ext cx="1028700" cy="44767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72287585" w:rsidR="004C5DD8" w:rsidRPr="00CC6608" w:rsidRDefault="004C5DD8"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29BE94F" id="Zaoblený obdĺžnik 15" o:spid="_x0000_s1026" style="position:absolute;margin-left:-24.45pt;margin-top:-2.45pt;width:81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" filled="f" strokecolor="black [3213]" strokeweight=".25pt">
              <v:stroke joinstyle="miter"/>
              <v:textbox>
                <w:txbxContent>
                  <w:p w14:paraId="19922610" w14:textId="72287585" w:rsidR="004C5DD8" w:rsidRPr="00CC6608" w:rsidRDefault="004C5DD8" w:rsidP="00DD3EE2">
                    <w:pPr>
                      <w:jc w:val="center"/>
                      <w:rPr>
                        <w:color w:val="000000" w:themeColor="text1"/>
                      </w:rPr>
                    </w:pPr>
                  </w:p>
                </w:txbxContent>
              </v:textbox>
            </v:roundrect>
          </w:pict>
        </mc:Fallback>
      </mc:AlternateContent>
    </w:r>
    <w:r>
      <w:rPr>
        <w:rFonts w:ascii="Arial" w:eastAsia="Times New Roman" w:hAnsi="Arial" w:cs="Arial"/>
        <w:b/>
        <w:noProof/>
        <w:sz w:val="28"/>
        <w:szCs w:val="20"/>
      </w:rPr>
      <w:drawing>
        <wp:inline distT="0" distB="0" distL="0" distR="0" wp14:anchorId="20AA9FDE" wp14:editId="715F6BC3">
          <wp:extent cx="342900" cy="36385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 KRASlogo_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331" cy="371740"/>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0337377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C5DD8" w:rsidRDefault="004C5DD8" w:rsidP="00DD3EE2">
    <w:pPr>
      <w:pStyle w:val="Hlavika"/>
    </w:pPr>
  </w:p>
  <w:p w14:paraId="25C2BAF4" w14:textId="77777777" w:rsidR="004C5DD8" w:rsidRPr="00FC401E" w:rsidRDefault="004C5DD8"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16DEA"/>
    <w:rsid w:val="000569D6"/>
    <w:rsid w:val="00066F24"/>
    <w:rsid w:val="00075FD9"/>
    <w:rsid w:val="0007610E"/>
    <w:rsid w:val="00081FA8"/>
    <w:rsid w:val="0008289A"/>
    <w:rsid w:val="000856E1"/>
    <w:rsid w:val="000B19BE"/>
    <w:rsid w:val="000C70A1"/>
    <w:rsid w:val="000E1177"/>
    <w:rsid w:val="000E6FF9"/>
    <w:rsid w:val="000F221D"/>
    <w:rsid w:val="000F55AF"/>
    <w:rsid w:val="000F7B3D"/>
    <w:rsid w:val="00116361"/>
    <w:rsid w:val="00182D10"/>
    <w:rsid w:val="00183589"/>
    <w:rsid w:val="001B1F1F"/>
    <w:rsid w:val="001B7788"/>
    <w:rsid w:val="001C2252"/>
    <w:rsid w:val="001C383A"/>
    <w:rsid w:val="00200A91"/>
    <w:rsid w:val="002319F5"/>
    <w:rsid w:val="00232E9E"/>
    <w:rsid w:val="00236E5C"/>
    <w:rsid w:val="00253953"/>
    <w:rsid w:val="00257130"/>
    <w:rsid w:val="002644F7"/>
    <w:rsid w:val="0026539C"/>
    <w:rsid w:val="002E1ED1"/>
    <w:rsid w:val="00305762"/>
    <w:rsid w:val="00310133"/>
    <w:rsid w:val="00316374"/>
    <w:rsid w:val="0032566C"/>
    <w:rsid w:val="00330781"/>
    <w:rsid w:val="003357FD"/>
    <w:rsid w:val="00340B96"/>
    <w:rsid w:val="00374B3F"/>
    <w:rsid w:val="00377989"/>
    <w:rsid w:val="00392626"/>
    <w:rsid w:val="003A4993"/>
    <w:rsid w:val="003B05C3"/>
    <w:rsid w:val="003C1560"/>
    <w:rsid w:val="003D39D0"/>
    <w:rsid w:val="003E1C2F"/>
    <w:rsid w:val="003E6697"/>
    <w:rsid w:val="003F1701"/>
    <w:rsid w:val="003F5E22"/>
    <w:rsid w:val="00410943"/>
    <w:rsid w:val="00421F08"/>
    <w:rsid w:val="004461E5"/>
    <w:rsid w:val="004530CF"/>
    <w:rsid w:val="00463F92"/>
    <w:rsid w:val="00467A69"/>
    <w:rsid w:val="00467E13"/>
    <w:rsid w:val="00481344"/>
    <w:rsid w:val="004C09DA"/>
    <w:rsid w:val="004C5DD8"/>
    <w:rsid w:val="004D750A"/>
    <w:rsid w:val="004F2ED1"/>
    <w:rsid w:val="004F7821"/>
    <w:rsid w:val="00531ECE"/>
    <w:rsid w:val="00535638"/>
    <w:rsid w:val="00543C90"/>
    <w:rsid w:val="00556E68"/>
    <w:rsid w:val="005609FD"/>
    <w:rsid w:val="005760CC"/>
    <w:rsid w:val="00587DF2"/>
    <w:rsid w:val="00595B92"/>
    <w:rsid w:val="00596954"/>
    <w:rsid w:val="00597A23"/>
    <w:rsid w:val="005B3A2C"/>
    <w:rsid w:val="00643184"/>
    <w:rsid w:val="00643439"/>
    <w:rsid w:val="00661A23"/>
    <w:rsid w:val="0068722F"/>
    <w:rsid w:val="00687273"/>
    <w:rsid w:val="00693C31"/>
    <w:rsid w:val="00696061"/>
    <w:rsid w:val="006A048B"/>
    <w:rsid w:val="006A27D3"/>
    <w:rsid w:val="006A2B96"/>
    <w:rsid w:val="006C54ED"/>
    <w:rsid w:val="006D0AAF"/>
    <w:rsid w:val="00701A7A"/>
    <w:rsid w:val="00733FAA"/>
    <w:rsid w:val="00735123"/>
    <w:rsid w:val="007418F9"/>
    <w:rsid w:val="00754D3C"/>
    <w:rsid w:val="00774C45"/>
    <w:rsid w:val="00780F81"/>
    <w:rsid w:val="007D58CE"/>
    <w:rsid w:val="0080206B"/>
    <w:rsid w:val="00802379"/>
    <w:rsid w:val="00803FFD"/>
    <w:rsid w:val="00806E14"/>
    <w:rsid w:val="0083548F"/>
    <w:rsid w:val="00843399"/>
    <w:rsid w:val="00843C6F"/>
    <w:rsid w:val="008644F8"/>
    <w:rsid w:val="00882C9E"/>
    <w:rsid w:val="008D55D5"/>
    <w:rsid w:val="008E4E7C"/>
    <w:rsid w:val="0090412C"/>
    <w:rsid w:val="00905190"/>
    <w:rsid w:val="00946FAA"/>
    <w:rsid w:val="009852EB"/>
    <w:rsid w:val="00991762"/>
    <w:rsid w:val="00997F82"/>
    <w:rsid w:val="009A09B1"/>
    <w:rsid w:val="009A1878"/>
    <w:rsid w:val="009A4A69"/>
    <w:rsid w:val="009A65F5"/>
    <w:rsid w:val="009B1C10"/>
    <w:rsid w:val="009B1F17"/>
    <w:rsid w:val="009B47E3"/>
    <w:rsid w:val="009C7F45"/>
    <w:rsid w:val="009D59DB"/>
    <w:rsid w:val="009D7EA2"/>
    <w:rsid w:val="00A37CB8"/>
    <w:rsid w:val="00A55D6C"/>
    <w:rsid w:val="00A57C24"/>
    <w:rsid w:val="00A70A2A"/>
    <w:rsid w:val="00A777E1"/>
    <w:rsid w:val="00A90A85"/>
    <w:rsid w:val="00AA39B6"/>
    <w:rsid w:val="00AB07F9"/>
    <w:rsid w:val="00AC6E38"/>
    <w:rsid w:val="00AD4007"/>
    <w:rsid w:val="00AD7FDE"/>
    <w:rsid w:val="00AE641C"/>
    <w:rsid w:val="00B12C25"/>
    <w:rsid w:val="00B336CA"/>
    <w:rsid w:val="00B43666"/>
    <w:rsid w:val="00B43B53"/>
    <w:rsid w:val="00B51C46"/>
    <w:rsid w:val="00B673F2"/>
    <w:rsid w:val="00B830C6"/>
    <w:rsid w:val="00B8659A"/>
    <w:rsid w:val="00BF6C3A"/>
    <w:rsid w:val="00C041C7"/>
    <w:rsid w:val="00C04A44"/>
    <w:rsid w:val="00C473E6"/>
    <w:rsid w:val="00C544B0"/>
    <w:rsid w:val="00C72A19"/>
    <w:rsid w:val="00C74CBB"/>
    <w:rsid w:val="00C94378"/>
    <w:rsid w:val="00CA18C8"/>
    <w:rsid w:val="00CA31F4"/>
    <w:rsid w:val="00CD453C"/>
    <w:rsid w:val="00D237D6"/>
    <w:rsid w:val="00D567D6"/>
    <w:rsid w:val="00D618C0"/>
    <w:rsid w:val="00D820A6"/>
    <w:rsid w:val="00D82CE8"/>
    <w:rsid w:val="00D83861"/>
    <w:rsid w:val="00D97366"/>
    <w:rsid w:val="00DD26C9"/>
    <w:rsid w:val="00DD3EE2"/>
    <w:rsid w:val="00DF0742"/>
    <w:rsid w:val="00DF122D"/>
    <w:rsid w:val="00E0368D"/>
    <w:rsid w:val="00E101C8"/>
    <w:rsid w:val="00E16DE4"/>
    <w:rsid w:val="00E30379"/>
    <w:rsid w:val="00E54587"/>
    <w:rsid w:val="00E60334"/>
    <w:rsid w:val="00EA155E"/>
    <w:rsid w:val="00EB65C0"/>
    <w:rsid w:val="00EE0748"/>
    <w:rsid w:val="00EE3738"/>
    <w:rsid w:val="00EF2E95"/>
    <w:rsid w:val="00F23F27"/>
    <w:rsid w:val="00F24F38"/>
    <w:rsid w:val="00F34153"/>
    <w:rsid w:val="00F413B2"/>
    <w:rsid w:val="00F61F89"/>
    <w:rsid w:val="00F768A3"/>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kras.sk/strategia-clld/irop-harmonogram-vyzvy/"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eader" Target="header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maskras.sk/strategia-clld/irop-harmonogram-vyzvy/"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261F37"/>
    <w:rsid w:val="00301556"/>
    <w:rsid w:val="003132D8"/>
    <w:rsid w:val="00375A98"/>
    <w:rsid w:val="003C5B56"/>
    <w:rsid w:val="003F03A5"/>
    <w:rsid w:val="00424257"/>
    <w:rsid w:val="004270A4"/>
    <w:rsid w:val="00450724"/>
    <w:rsid w:val="004B348D"/>
    <w:rsid w:val="004E2BCA"/>
    <w:rsid w:val="004F2CDE"/>
    <w:rsid w:val="00504897"/>
    <w:rsid w:val="00562C21"/>
    <w:rsid w:val="00956837"/>
    <w:rsid w:val="009C56EF"/>
    <w:rsid w:val="00A30B05"/>
    <w:rsid w:val="00A46377"/>
    <w:rsid w:val="00AC04BF"/>
    <w:rsid w:val="00B05E4E"/>
    <w:rsid w:val="00B973B3"/>
    <w:rsid w:val="00DD0724"/>
    <w:rsid w:val="00E165DC"/>
    <w:rsid w:val="00E50248"/>
    <w:rsid w:val="00EA3A3E"/>
    <w:rsid w:val="00F02D66"/>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E7E1F-8A06-4E1D-B751-A2B98DC4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11037</Words>
  <Characters>62911</Characters>
  <Application>Microsoft Office Word</Application>
  <DocSecurity>0</DocSecurity>
  <Lines>524</Lines>
  <Paragraphs>147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lorant pápai</cp:lastModifiedBy>
  <cp:revision>2</cp:revision>
  <dcterms:created xsi:type="dcterms:W3CDTF">2020-01-29T14:54:00Z</dcterms:created>
  <dcterms:modified xsi:type="dcterms:W3CDTF">2020-01-29T14:54:00Z</dcterms:modified>
</cp:coreProperties>
</file>